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87C6B" w14:textId="77777777" w:rsidR="00397CF6" w:rsidRDefault="00397CF6">
      <w:pPr>
        <w:rPr>
          <w:rFonts w:ascii="Arial" w:hAnsi="Arial" w:cs="Arial"/>
          <w:sz w:val="28"/>
          <w:szCs w:val="28"/>
        </w:rPr>
      </w:pPr>
    </w:p>
    <w:p w14:paraId="51D9D130" w14:textId="77777777" w:rsidR="00D23663" w:rsidRPr="000A66BF" w:rsidRDefault="000A66BF" w:rsidP="00D23663">
      <w:pPr>
        <w:rPr>
          <w:rFonts w:ascii="Arial" w:hAnsi="Arial" w:cs="Arial"/>
        </w:rPr>
      </w:pPr>
      <w:proofErr w:type="spellStart"/>
      <w:r w:rsidRPr="000A66BF">
        <w:rPr>
          <w:rFonts w:ascii="Arial" w:hAnsi="Arial" w:cs="Arial"/>
          <w:sz w:val="28"/>
          <w:szCs w:val="28"/>
        </w:rPr>
        <w:t>Додатна</w:t>
      </w:r>
      <w:proofErr w:type="spellEnd"/>
      <w:r w:rsidRPr="000A66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66BF">
        <w:rPr>
          <w:rFonts w:ascii="Arial" w:hAnsi="Arial" w:cs="Arial"/>
          <w:sz w:val="28"/>
          <w:szCs w:val="28"/>
        </w:rPr>
        <w:t>наставна</w:t>
      </w:r>
      <w:proofErr w:type="spellEnd"/>
      <w:r w:rsidRPr="000A66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66BF">
        <w:rPr>
          <w:rFonts w:ascii="Arial" w:hAnsi="Arial" w:cs="Arial"/>
          <w:sz w:val="28"/>
          <w:szCs w:val="28"/>
        </w:rPr>
        <w:t>средства</w:t>
      </w:r>
      <w:proofErr w:type="spellEnd"/>
      <w:r w:rsidRPr="000A66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66BF">
        <w:rPr>
          <w:rFonts w:ascii="Arial" w:hAnsi="Arial" w:cs="Arial"/>
          <w:sz w:val="28"/>
          <w:szCs w:val="28"/>
        </w:rPr>
        <w:t>за</w:t>
      </w:r>
      <w:proofErr w:type="spellEnd"/>
      <w:r w:rsidRPr="000A66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66BF">
        <w:rPr>
          <w:rFonts w:ascii="Arial" w:hAnsi="Arial" w:cs="Arial"/>
          <w:sz w:val="28"/>
          <w:szCs w:val="28"/>
        </w:rPr>
        <w:t>конструкторско</w:t>
      </w:r>
      <w:proofErr w:type="spellEnd"/>
      <w:r w:rsidRPr="000A66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66BF">
        <w:rPr>
          <w:rFonts w:ascii="Arial" w:hAnsi="Arial" w:cs="Arial"/>
          <w:sz w:val="28"/>
          <w:szCs w:val="28"/>
        </w:rPr>
        <w:t>моделовање</w:t>
      </w:r>
      <w:proofErr w:type="spellEnd"/>
      <w:r w:rsidRPr="000A66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66BF">
        <w:rPr>
          <w:rFonts w:ascii="Arial" w:hAnsi="Arial" w:cs="Arial"/>
          <w:sz w:val="28"/>
          <w:szCs w:val="28"/>
        </w:rPr>
        <w:t>за</w:t>
      </w:r>
      <w:proofErr w:type="spellEnd"/>
      <w:r w:rsidRPr="000A66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66BF">
        <w:rPr>
          <w:rFonts w:ascii="Arial" w:hAnsi="Arial" w:cs="Arial"/>
          <w:sz w:val="28"/>
          <w:szCs w:val="28"/>
        </w:rPr>
        <w:t>предмет</w:t>
      </w:r>
      <w:proofErr w:type="spellEnd"/>
      <w:r w:rsidRPr="000A66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66BF">
        <w:rPr>
          <w:rFonts w:ascii="Arial" w:hAnsi="Arial" w:cs="Arial"/>
          <w:sz w:val="28"/>
          <w:szCs w:val="28"/>
        </w:rPr>
        <w:t>Техника</w:t>
      </w:r>
      <w:proofErr w:type="spellEnd"/>
      <w:r w:rsidRPr="000A66B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A66BF">
        <w:rPr>
          <w:rFonts w:ascii="Arial" w:hAnsi="Arial" w:cs="Arial"/>
          <w:sz w:val="28"/>
          <w:szCs w:val="28"/>
        </w:rPr>
        <w:t>технологија</w:t>
      </w:r>
      <w:proofErr w:type="spellEnd"/>
      <w:r w:rsidRPr="000A66BF">
        <w:rPr>
          <w:rFonts w:ascii="Arial" w:hAnsi="Arial" w:cs="Arial"/>
          <w:sz w:val="28"/>
          <w:szCs w:val="28"/>
        </w:rPr>
        <w:t>:</w:t>
      </w:r>
    </w:p>
    <w:p w14:paraId="2C3B00BF" w14:textId="77777777" w:rsidR="00D23663" w:rsidRPr="00487C32" w:rsidRDefault="00D23663" w:rsidP="00D23663">
      <w:pPr>
        <w:rPr>
          <w:rFonts w:ascii="Arial" w:hAnsi="Arial" w:cs="Arial"/>
        </w:rPr>
      </w:pP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1900"/>
        <w:gridCol w:w="2245"/>
        <w:gridCol w:w="1564"/>
        <w:gridCol w:w="4101"/>
      </w:tblGrid>
      <w:tr w:rsidR="00D23663" w:rsidRPr="00487C32" w14:paraId="52F3690A" w14:textId="77777777" w:rsidTr="00857D9D">
        <w:tc>
          <w:tcPr>
            <w:tcW w:w="1260" w:type="dxa"/>
          </w:tcPr>
          <w:p w14:paraId="6E985ED9" w14:textId="77777777" w:rsidR="00D23663" w:rsidRPr="000A66BF" w:rsidRDefault="000A66BF" w:rsidP="00D23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РАЗРЕД</w:t>
            </w:r>
          </w:p>
        </w:tc>
        <w:tc>
          <w:tcPr>
            <w:tcW w:w="1900" w:type="dxa"/>
          </w:tcPr>
          <w:p w14:paraId="667BA543" w14:textId="77777777" w:rsidR="00D23663" w:rsidRPr="000A66BF" w:rsidRDefault="000A66BF" w:rsidP="00D236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НАЗИВ</w:t>
            </w:r>
          </w:p>
        </w:tc>
        <w:tc>
          <w:tcPr>
            <w:tcW w:w="2245" w:type="dxa"/>
          </w:tcPr>
          <w:p w14:paraId="307FF40D" w14:textId="77777777" w:rsidR="00D23663" w:rsidRPr="000A66BF" w:rsidRDefault="000A66BF" w:rsidP="00D236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ИЗДАВАЧ И АУТОР</w:t>
            </w:r>
          </w:p>
        </w:tc>
        <w:tc>
          <w:tcPr>
            <w:tcW w:w="1564" w:type="dxa"/>
          </w:tcPr>
          <w:p w14:paraId="37C2621A" w14:textId="77777777" w:rsidR="00D23663" w:rsidRPr="000A66BF" w:rsidRDefault="000A66BF" w:rsidP="00D2366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Бр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решења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редни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број</w:t>
            </w:r>
            <w:proofErr w:type="spellEnd"/>
            <w:r>
              <w:rPr>
                <w:rFonts w:ascii="Arial" w:hAnsi="Arial" w:cs="Arial"/>
                <w:b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</w:rPr>
              <w:t>каталогу</w:t>
            </w:r>
            <w:proofErr w:type="spellEnd"/>
          </w:p>
        </w:tc>
        <w:tc>
          <w:tcPr>
            <w:tcW w:w="4101" w:type="dxa"/>
          </w:tcPr>
          <w:p w14:paraId="373A4EF2" w14:textId="77777777" w:rsidR="00D23663" w:rsidRPr="000A66BF" w:rsidRDefault="000A66BF" w:rsidP="00D236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ОПИС</w:t>
            </w:r>
          </w:p>
        </w:tc>
      </w:tr>
      <w:tr w:rsidR="00D23663" w:rsidRPr="00487C32" w14:paraId="76FC39ED" w14:textId="77777777" w:rsidTr="00857D9D">
        <w:tc>
          <w:tcPr>
            <w:tcW w:w="1260" w:type="dxa"/>
          </w:tcPr>
          <w:p w14:paraId="5F117747" w14:textId="77777777" w:rsidR="00D23663" w:rsidRPr="000A66BF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Пети</w:t>
            </w:r>
            <w:proofErr w:type="spellEnd"/>
          </w:p>
        </w:tc>
        <w:tc>
          <w:tcPr>
            <w:tcW w:w="1900" w:type="dxa"/>
          </w:tcPr>
          <w:p w14:paraId="3C19C60B" w14:textId="77777777" w:rsidR="00D23663" w:rsidRPr="00487C32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Материјал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конструкторско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обликовање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упутством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245" w:type="dxa"/>
          </w:tcPr>
          <w:p w14:paraId="43CF7960" w14:textId="77777777" w:rsidR="00D23663" w:rsidRPr="000A66BF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Дакта</w:t>
            </w:r>
            <w:proofErr w:type="spellEnd"/>
          </w:p>
          <w:p w14:paraId="09702880" w14:textId="77777777" w:rsidR="00D23663" w:rsidRPr="000A66BF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Милан</w:t>
            </w:r>
            <w:proofErr w:type="spellEnd"/>
            <w:r>
              <w:t xml:space="preserve"> и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Санадер</w:t>
            </w:r>
            <w:proofErr w:type="spellEnd"/>
          </w:p>
        </w:tc>
        <w:tc>
          <w:tcPr>
            <w:tcW w:w="1564" w:type="dxa"/>
          </w:tcPr>
          <w:p w14:paraId="2ECE7B10" w14:textId="77777777" w:rsidR="00D23663" w:rsidRDefault="00000000" w:rsidP="00D23663">
            <w:hyperlink r:id="rId4" w:history="1">
              <w:r w:rsidR="000A66B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 xml:space="preserve">650-02-00203/2018-07 </w:t>
              </w:r>
              <w:proofErr w:type="spellStart"/>
              <w:r w:rsidR="000A66B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>од</w:t>
              </w:r>
              <w:proofErr w:type="spellEnd"/>
              <w:r w:rsidR="00D23663" w:rsidRPr="00487C3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 xml:space="preserve"> 27.4.2018.</w:t>
              </w:r>
            </w:hyperlink>
          </w:p>
          <w:p w14:paraId="4253D002" w14:textId="77777777" w:rsidR="00857D9D" w:rsidRDefault="00857D9D" w:rsidP="00D23663"/>
          <w:p w14:paraId="245FA33C" w14:textId="77777777" w:rsidR="00857D9D" w:rsidRPr="00857D9D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Рб</w:t>
            </w:r>
            <w:proofErr w:type="spellEnd"/>
            <w:r w:rsidR="00857D9D" w:rsidRPr="00857D9D">
              <w:rPr>
                <w:rFonts w:ascii="Arial" w:hAnsi="Arial" w:cs="Arial"/>
                <w:sz w:val="24"/>
                <w:szCs w:val="24"/>
              </w:rPr>
              <w:t>. 53</w:t>
            </w:r>
          </w:p>
        </w:tc>
        <w:tc>
          <w:tcPr>
            <w:tcW w:w="4101" w:type="dxa"/>
          </w:tcPr>
          <w:p w14:paraId="04060BB8" w14:textId="77777777" w:rsidR="00D23663" w:rsidRPr="00487C32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Материјал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конструкторско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моделовање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прилагођен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Наставном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плану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програму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предмета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Техника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технологија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5.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разред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.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оквиру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упутства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дате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информације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реализацију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практичног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дела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наставе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из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области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Ресурси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производања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Конструкторско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моделовање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.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области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Ресурси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производања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дати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примери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обликовања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производа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од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папира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текстила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коже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дрвета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Иза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сваког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примера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дат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простор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обликовање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сопствене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идеје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Област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Конструкторско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моделовање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намењена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развоју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предузетништва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крају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овог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упутсва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дат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прилог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израду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макете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раскрснице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коју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препоручује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да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реализује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као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рад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паровима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.</w:t>
            </w:r>
          </w:p>
        </w:tc>
      </w:tr>
      <w:tr w:rsidR="00D23663" w:rsidRPr="00487C32" w14:paraId="50D58221" w14:textId="77777777" w:rsidTr="00857D9D">
        <w:tc>
          <w:tcPr>
            <w:tcW w:w="1260" w:type="dxa"/>
          </w:tcPr>
          <w:p w14:paraId="4547401E" w14:textId="77777777" w:rsidR="00D23663" w:rsidRPr="000A66BF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Шести</w:t>
            </w:r>
            <w:proofErr w:type="spellEnd"/>
          </w:p>
        </w:tc>
        <w:tc>
          <w:tcPr>
            <w:tcW w:w="1900" w:type="dxa"/>
          </w:tcPr>
          <w:p w14:paraId="5973A506" w14:textId="77777777" w:rsidR="00D23663" w:rsidRPr="000A66BF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Материјал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конструкторско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обликовање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упутством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448EC71F" w14:textId="77777777" w:rsidR="000A66BF" w:rsidRPr="000A66BF" w:rsidRDefault="000A66BF" w:rsidP="000A66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Дакта</w:t>
            </w:r>
            <w:proofErr w:type="spellEnd"/>
          </w:p>
          <w:p w14:paraId="3479D857" w14:textId="77777777" w:rsidR="00D23663" w:rsidRPr="00487C32" w:rsidRDefault="000A66BF" w:rsidP="000A66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Милан</w:t>
            </w:r>
            <w:proofErr w:type="spellEnd"/>
            <w:r>
              <w:t xml:space="preserve"> и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Санадер</w:t>
            </w:r>
            <w:proofErr w:type="spellEnd"/>
          </w:p>
        </w:tc>
        <w:tc>
          <w:tcPr>
            <w:tcW w:w="1564" w:type="dxa"/>
          </w:tcPr>
          <w:p w14:paraId="416D408C" w14:textId="77777777" w:rsidR="00857D9D" w:rsidRDefault="00000000" w:rsidP="00D23663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DD5F3B" w:rsidRPr="00487C3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 xml:space="preserve">650-02-00107/2019-07 </w:t>
              </w:r>
              <w:proofErr w:type="spellStart"/>
              <w:r w:rsidR="00DD5F3B" w:rsidRPr="00487C3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>od</w:t>
              </w:r>
              <w:proofErr w:type="spellEnd"/>
              <w:r w:rsidR="00DD5F3B" w:rsidRPr="00487C3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 xml:space="preserve"> 21.5.2019.</w:t>
              </w:r>
            </w:hyperlink>
          </w:p>
          <w:p w14:paraId="17520484" w14:textId="77777777" w:rsidR="00857D9D" w:rsidRDefault="00857D9D" w:rsidP="00857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404A2" w14:textId="77777777" w:rsidR="00857D9D" w:rsidRDefault="00857D9D" w:rsidP="00857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29C09" w14:textId="77777777" w:rsidR="00D23663" w:rsidRPr="00857D9D" w:rsidRDefault="000A66BF" w:rsidP="00857D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Рб</w:t>
            </w:r>
            <w:proofErr w:type="spellEnd"/>
            <w:r w:rsidR="00857D9D">
              <w:rPr>
                <w:rFonts w:ascii="Arial" w:hAnsi="Arial" w:cs="Arial"/>
                <w:sz w:val="24"/>
                <w:szCs w:val="24"/>
              </w:rPr>
              <w:t>. 108</w:t>
            </w:r>
          </w:p>
        </w:tc>
        <w:tc>
          <w:tcPr>
            <w:tcW w:w="4101" w:type="dxa"/>
          </w:tcPr>
          <w:p w14:paraId="1618CF4D" w14:textId="77777777" w:rsidR="00D23663" w:rsidRPr="00487C32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Материјал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конструкторско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моделовање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прилагођен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Наставном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плану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програму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предмета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Техника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технологија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6.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разред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Обухваћене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све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области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–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ресурси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производња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Архитектура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грађевинарство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, </w:t>
            </w:r>
            <w:proofErr w:type="spellStart"/>
            <w:proofErr w:type="gram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предузетништво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 и</w:t>
            </w:r>
            <w:proofErr w:type="gram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техничка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средства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пољопривредној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производњи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обликовање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макета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модела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оквиру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пратећег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материјала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предвиђени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елементи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облику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летвица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папира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полукартона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картона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пластичне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фолије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…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чији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степен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припремљености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омогућава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њихову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брзу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израду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. 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При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обликовању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понуђених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макета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модела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посебна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пажња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посвећена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економичном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коришћењу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материјала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времена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које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потребно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његово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обликовање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  <w:shd w:val="clear" w:color="auto" w:fill="F6F6F6"/>
              </w:rPr>
              <w:t>.</w:t>
            </w:r>
          </w:p>
        </w:tc>
      </w:tr>
      <w:tr w:rsidR="00D23663" w:rsidRPr="00487C32" w14:paraId="58D07E86" w14:textId="77777777" w:rsidTr="00857D9D">
        <w:tc>
          <w:tcPr>
            <w:tcW w:w="1260" w:type="dxa"/>
          </w:tcPr>
          <w:p w14:paraId="29EE1EEE" w14:textId="77777777" w:rsidR="00D23663" w:rsidRPr="000A66BF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Седми</w:t>
            </w:r>
            <w:proofErr w:type="spellEnd"/>
          </w:p>
        </w:tc>
        <w:tc>
          <w:tcPr>
            <w:tcW w:w="1900" w:type="dxa"/>
          </w:tcPr>
          <w:p w14:paraId="2F255C5D" w14:textId="77777777" w:rsidR="00D23663" w:rsidRPr="000A66BF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Материјал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конструкторско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обликовање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упутством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14:paraId="475535B3" w14:textId="77777777" w:rsidR="000A66BF" w:rsidRPr="000A66BF" w:rsidRDefault="000A66BF" w:rsidP="000A66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Дакта</w:t>
            </w:r>
            <w:proofErr w:type="spellEnd"/>
          </w:p>
          <w:p w14:paraId="2AF9ECAB" w14:textId="77777777" w:rsidR="00D23663" w:rsidRPr="00487C32" w:rsidRDefault="000A66BF" w:rsidP="000A66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Милан</w:t>
            </w:r>
            <w:proofErr w:type="spellEnd"/>
            <w:r>
              <w:t xml:space="preserve"> и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Санадер</w:t>
            </w:r>
            <w:proofErr w:type="spellEnd"/>
          </w:p>
        </w:tc>
        <w:tc>
          <w:tcPr>
            <w:tcW w:w="1564" w:type="dxa"/>
          </w:tcPr>
          <w:p w14:paraId="50F93164" w14:textId="77777777" w:rsidR="00857D9D" w:rsidRDefault="00000000" w:rsidP="00D23663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C24387" w:rsidRPr="00487C3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 xml:space="preserve">650-02-00009/2022-07 </w:t>
              </w:r>
              <w:proofErr w:type="spellStart"/>
              <w:r w:rsidR="00C24387" w:rsidRPr="00487C3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>od</w:t>
              </w:r>
              <w:proofErr w:type="spellEnd"/>
              <w:r w:rsidR="00C24387" w:rsidRPr="00487C3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 xml:space="preserve"> 09.05.2022.</w:t>
              </w:r>
            </w:hyperlink>
          </w:p>
          <w:p w14:paraId="02E897EF" w14:textId="77777777" w:rsidR="00857D9D" w:rsidRPr="00857D9D" w:rsidRDefault="00857D9D" w:rsidP="00857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94DB1" w14:textId="77777777" w:rsidR="00857D9D" w:rsidRDefault="00857D9D" w:rsidP="00857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65D0A" w14:textId="77777777" w:rsidR="00D23663" w:rsidRPr="00857D9D" w:rsidRDefault="000A66BF" w:rsidP="00857D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Рб</w:t>
            </w:r>
            <w:proofErr w:type="spellEnd"/>
            <w:r w:rsidR="00857D9D">
              <w:rPr>
                <w:rFonts w:ascii="Arial" w:hAnsi="Arial" w:cs="Arial"/>
                <w:sz w:val="24"/>
                <w:szCs w:val="24"/>
              </w:rPr>
              <w:t>. 345</w:t>
            </w:r>
          </w:p>
        </w:tc>
        <w:tc>
          <w:tcPr>
            <w:tcW w:w="4101" w:type="dxa"/>
          </w:tcPr>
          <w:p w14:paraId="35EC1C07" w14:textId="77777777" w:rsidR="000A66BF" w:rsidRPr="000A66BF" w:rsidRDefault="000A66BF" w:rsidP="000A66BF">
            <w:pPr>
              <w:pStyle w:val="NormalWeb"/>
              <w:shd w:val="clear" w:color="auto" w:fill="F6F6F6"/>
              <w:spacing w:after="0" w:line="33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lastRenderedPageBreak/>
              <w:t>Комплет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садржи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27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понуђених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идеја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9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разрађених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идеја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обухвата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моделовање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конструкција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из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области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машинства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.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оквиру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материјала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lastRenderedPageBreak/>
              <w:t>конструкторско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моделовање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припремљено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девет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група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модела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употребних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предмета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Свака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група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садржи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три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предлога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од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којих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један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дата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скица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технолшка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листа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технички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цртеж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делова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који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израђују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монтажни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просторни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цртеж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основу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кога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модел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саставља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DFC18C0" w14:textId="77777777" w:rsidR="00770E91" w:rsidRPr="00487C32" w:rsidRDefault="000A66BF" w:rsidP="000A66BF">
            <w:pPr>
              <w:pStyle w:val="NormalWeb"/>
              <w:shd w:val="clear" w:color="auto" w:fill="F6F6F6"/>
              <w:spacing w:before="0" w:beforeAutospacing="0" w:after="0" w:afterAutospacing="0" w:line="33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оне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који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желе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сазнају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више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али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осете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већу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радост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стварања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моћи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ће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завршним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часовима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предмета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техника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технологија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седмом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разреду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израде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роботска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колица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Израђена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роботска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колица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могу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искористити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као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наставно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средство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остварење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исхода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„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Управљање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моделима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користећи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A66BF">
              <w:rPr>
                <w:rFonts w:ascii="Arial" w:hAnsi="Arial" w:cs="Arial"/>
                <w:sz w:val="21"/>
                <w:szCs w:val="21"/>
              </w:rPr>
              <w:t>рачунар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>“ у</w:t>
            </w:r>
            <w:proofErr w:type="gram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области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Техничка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дигитална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писменост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B4E6049" w14:textId="77777777" w:rsidR="00D23663" w:rsidRPr="00487C32" w:rsidRDefault="00D23663" w:rsidP="00D23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63" w:rsidRPr="00487C32" w14:paraId="1EDC2E24" w14:textId="77777777" w:rsidTr="00857D9D">
        <w:tc>
          <w:tcPr>
            <w:tcW w:w="1260" w:type="dxa"/>
          </w:tcPr>
          <w:p w14:paraId="5192C8C0" w14:textId="77777777" w:rsidR="00D23663" w:rsidRPr="000A66BF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Осми</w:t>
            </w:r>
            <w:proofErr w:type="spellEnd"/>
          </w:p>
        </w:tc>
        <w:tc>
          <w:tcPr>
            <w:tcW w:w="1900" w:type="dxa"/>
          </w:tcPr>
          <w:p w14:paraId="072C4113" w14:textId="77777777" w:rsidR="00D23663" w:rsidRPr="000A66BF" w:rsidRDefault="000A66BF" w:rsidP="00D2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Материјал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конструкторско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обликовање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4"/>
                <w:szCs w:val="24"/>
              </w:rPr>
              <w:t>упутством</w:t>
            </w:r>
            <w:proofErr w:type="spellEnd"/>
            <w:r w:rsidRPr="000A66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14:paraId="47C928C7" w14:textId="77777777" w:rsidR="000A66BF" w:rsidRPr="000A66BF" w:rsidRDefault="000A66BF" w:rsidP="000A66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Дакта</w:t>
            </w:r>
            <w:proofErr w:type="spellEnd"/>
          </w:p>
          <w:p w14:paraId="0B2E40F3" w14:textId="77777777" w:rsidR="00D23663" w:rsidRPr="000A66BF" w:rsidRDefault="000A66BF" w:rsidP="000A66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Милан</w:t>
            </w:r>
            <w:proofErr w:type="spellEnd"/>
            <w:r>
              <w:t xml:space="preserve"> и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Санадер</w:t>
            </w:r>
            <w:proofErr w:type="spellEnd"/>
            <w:r w:rsidRPr="00487C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Миомир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564" w:type="dxa"/>
          </w:tcPr>
          <w:p w14:paraId="087E57EA" w14:textId="77777777" w:rsidR="00857D9D" w:rsidRDefault="00000000" w:rsidP="00D23663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A66B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 xml:space="preserve">650-02-00007/2022-07 </w:t>
              </w:r>
              <w:proofErr w:type="spellStart"/>
              <w:r w:rsidR="000A66B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>од</w:t>
              </w:r>
              <w:proofErr w:type="spellEnd"/>
              <w:r w:rsidR="00770E91" w:rsidRPr="00487C3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 xml:space="preserve"> 09.05.2022.</w:t>
              </w:r>
            </w:hyperlink>
          </w:p>
          <w:p w14:paraId="71FF50DF" w14:textId="77777777" w:rsidR="00857D9D" w:rsidRPr="00857D9D" w:rsidRDefault="00857D9D" w:rsidP="00857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E62EF" w14:textId="77777777" w:rsidR="00857D9D" w:rsidRDefault="00857D9D" w:rsidP="00857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668A2" w14:textId="77777777" w:rsidR="00D23663" w:rsidRPr="00857D9D" w:rsidRDefault="000A66BF" w:rsidP="00857D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Рб</w:t>
            </w:r>
            <w:proofErr w:type="spellEnd"/>
            <w:r w:rsidR="00857D9D">
              <w:rPr>
                <w:rFonts w:ascii="Arial" w:hAnsi="Arial" w:cs="Arial"/>
                <w:sz w:val="24"/>
                <w:szCs w:val="24"/>
              </w:rPr>
              <w:t>. 344</w:t>
            </w:r>
          </w:p>
        </w:tc>
        <w:tc>
          <w:tcPr>
            <w:tcW w:w="4101" w:type="dxa"/>
          </w:tcPr>
          <w:p w14:paraId="12D8C16E" w14:textId="77777777" w:rsidR="00770E91" w:rsidRPr="00487C32" w:rsidRDefault="000A66BF" w:rsidP="00770E91">
            <w:pPr>
              <w:pStyle w:val="NormalWeb"/>
              <w:shd w:val="clear" w:color="auto" w:fill="F6F6F6"/>
              <w:spacing w:before="0" w:beforeAutospacing="0" w:after="180" w:afterAutospacing="0" w:line="33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Комплет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садржи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24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понуђених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идеја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17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разрађених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идеја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Израђују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модели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из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области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Електроника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електротехника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обухваћена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област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предузетништво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Пратећи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материјал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дат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је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претежно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облику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готових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компоненти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сијалице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отпорници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кондензатори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диоде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месингани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стубићи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завртњеви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навртке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а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мањи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део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облику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полупроизвода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проводници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жица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плочице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челичног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лима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израду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делова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који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потребни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поједине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моделе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Неким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израђеним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моделима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може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се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управљати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помоћу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рачунара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шта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су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припремљени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програми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66BF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0A66BF">
              <w:rPr>
                <w:rFonts w:ascii="Arial" w:hAnsi="Arial" w:cs="Arial"/>
                <w:sz w:val="21"/>
                <w:szCs w:val="21"/>
              </w:rPr>
              <w:t xml:space="preserve"> ЦД-у.</w:t>
            </w:r>
          </w:p>
          <w:p w14:paraId="208163BE" w14:textId="77777777" w:rsidR="00D23663" w:rsidRPr="00487C32" w:rsidRDefault="00D23663" w:rsidP="00D23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2E4CE" w14:textId="77777777" w:rsidR="00953723" w:rsidRPr="000A66BF" w:rsidRDefault="00953723" w:rsidP="00D23663"/>
    <w:sectPr w:rsidR="00953723" w:rsidRPr="000A66BF" w:rsidSect="000A66B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63"/>
    <w:rsid w:val="00063C52"/>
    <w:rsid w:val="000A66BF"/>
    <w:rsid w:val="000B6C9F"/>
    <w:rsid w:val="0021055C"/>
    <w:rsid w:val="00397CF6"/>
    <w:rsid w:val="00487C32"/>
    <w:rsid w:val="005D2AAD"/>
    <w:rsid w:val="00682273"/>
    <w:rsid w:val="006F5C5C"/>
    <w:rsid w:val="00770E91"/>
    <w:rsid w:val="00857D9D"/>
    <w:rsid w:val="00942A7A"/>
    <w:rsid w:val="00953723"/>
    <w:rsid w:val="009E7B2D"/>
    <w:rsid w:val="00C24387"/>
    <w:rsid w:val="00D23663"/>
    <w:rsid w:val="00DB2305"/>
    <w:rsid w:val="00D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2077"/>
  <w15:docId w15:val="{9983BA23-3D3E-44C9-B4E6-E0BA4BD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36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36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gdakta.com/wp-content/uploads/2022/05/Re%C5%A1enje-za-ud%C5%BEbeni%C4%8Dki-komplet-8-maj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gdakta.com/wp-content/uploads/2022/05/Re%C5%A1enje-za-ud%C5%BEbeni%C4%8Dki-komplet-7-maj-2022.pdf" TargetMode="External"/><Relationship Id="rId5" Type="http://schemas.openxmlformats.org/officeDocument/2006/relationships/hyperlink" Target="http://www.migdakta.com/wp-content/uploads/2020/03/Resenje-za-udzbenik-6-2019.pdf" TargetMode="External"/><Relationship Id="rId4" Type="http://schemas.openxmlformats.org/officeDocument/2006/relationships/hyperlink" Target="http://www.migdakta.com/wp-content/uploads/2018/05/Re%C5%A1enje-za-ud%C5%BEbenik-5-20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2024-06-04T10:30:00Z</dcterms:created>
  <dcterms:modified xsi:type="dcterms:W3CDTF">2024-06-04T10:30:00Z</dcterms:modified>
</cp:coreProperties>
</file>